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4D55" w14:textId="77777777" w:rsidR="00D145D6" w:rsidRDefault="00FC5523">
      <w:pPr>
        <w:pStyle w:val="a4"/>
        <w:spacing w:before="69" w:line="322" w:lineRule="exact"/>
      </w:pPr>
      <w:r>
        <w:rPr>
          <w:spacing w:val="-2"/>
        </w:rPr>
        <w:t>Порядок</w:t>
      </w:r>
    </w:p>
    <w:p w14:paraId="070595F1" w14:textId="37ECFF09" w:rsidR="00D145D6" w:rsidRDefault="00FC5523">
      <w:pPr>
        <w:pStyle w:val="a4"/>
        <w:ind w:left="1861" w:right="1712" w:firstLine="1"/>
      </w:pPr>
      <w:r>
        <w:t xml:space="preserve">реагування на випадок </w:t>
      </w:r>
      <w:proofErr w:type="spellStart"/>
      <w:r>
        <w:t>булінгу</w:t>
      </w:r>
      <w:proofErr w:type="spellEnd"/>
      <w:r w:rsidR="00D25B71">
        <w:t xml:space="preserve"> </w:t>
      </w:r>
      <w:r>
        <w:t xml:space="preserve">(цькування) </w:t>
      </w:r>
    </w:p>
    <w:p w14:paraId="7C55ECC7" w14:textId="77777777" w:rsidR="00D145D6" w:rsidRDefault="00FC5523">
      <w:pPr>
        <w:pStyle w:val="a3"/>
        <w:spacing w:before="318"/>
        <w:ind w:right="116"/>
      </w:pPr>
      <w:r>
        <w:t>Цей алгоритм розроблено відповідно до Закону України «Про</w:t>
      </w:r>
      <w:r>
        <w:rPr>
          <w:spacing w:val="40"/>
        </w:rPr>
        <w:t xml:space="preserve"> </w:t>
      </w:r>
      <w:r>
        <w:t xml:space="preserve">внесення змін до деяких законодавчих актів України щодо протидії </w:t>
      </w:r>
      <w:proofErr w:type="spellStart"/>
      <w:r>
        <w:t>булінгу</w:t>
      </w:r>
      <w:proofErr w:type="spellEnd"/>
      <w:r>
        <w:t xml:space="preserve"> (цькуванню)»,</w:t>
      </w:r>
      <w:r>
        <w:rPr>
          <w:spacing w:val="35"/>
        </w:rPr>
        <w:t xml:space="preserve"> </w:t>
      </w:r>
      <w:r>
        <w:t>наказу</w:t>
      </w:r>
      <w:r>
        <w:rPr>
          <w:spacing w:val="35"/>
        </w:rPr>
        <w:t xml:space="preserve"> </w:t>
      </w:r>
      <w:r>
        <w:t>Міністерства</w:t>
      </w:r>
      <w:r>
        <w:rPr>
          <w:spacing w:val="37"/>
        </w:rPr>
        <w:t xml:space="preserve"> </w:t>
      </w:r>
      <w:r>
        <w:t>освіти</w:t>
      </w:r>
      <w:r>
        <w:rPr>
          <w:spacing w:val="38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науки</w:t>
      </w:r>
      <w:r>
        <w:rPr>
          <w:spacing w:val="38"/>
        </w:rPr>
        <w:t xml:space="preserve"> </w:t>
      </w:r>
      <w:r>
        <w:t>України</w:t>
      </w:r>
      <w:r>
        <w:rPr>
          <w:spacing w:val="38"/>
        </w:rPr>
        <w:t xml:space="preserve"> </w:t>
      </w:r>
      <w:r>
        <w:t>від</w:t>
      </w:r>
      <w:r>
        <w:rPr>
          <w:spacing w:val="39"/>
        </w:rPr>
        <w:t xml:space="preserve"> </w:t>
      </w:r>
      <w:r>
        <w:rPr>
          <w:spacing w:val="-2"/>
        </w:rPr>
        <w:t>28.12.2019</w:t>
      </w:r>
    </w:p>
    <w:p w14:paraId="07699145" w14:textId="77777777" w:rsidR="00D145D6" w:rsidRDefault="00FC5523">
      <w:pPr>
        <w:pStyle w:val="a3"/>
        <w:ind w:right="115" w:firstLine="0"/>
      </w:pPr>
      <w:r>
        <w:t xml:space="preserve">№1646 «Деякі питання реагування на випадки </w:t>
      </w:r>
      <w:proofErr w:type="spellStart"/>
      <w:r>
        <w:t>булінгу</w:t>
      </w:r>
      <w:proofErr w:type="spellEnd"/>
      <w:r>
        <w:t xml:space="preserve"> (цькування) та застосування заходів виховного впливу в закладах освіти».</w:t>
      </w:r>
    </w:p>
    <w:p w14:paraId="77F6CB05" w14:textId="77777777" w:rsidR="00D145D6" w:rsidRDefault="00FC5523">
      <w:pPr>
        <w:pStyle w:val="a3"/>
        <w:spacing w:before="1"/>
        <w:ind w:right="123"/>
      </w:pPr>
      <w:r>
        <w:t xml:space="preserve">Порядок реагування на випадки </w:t>
      </w:r>
      <w:proofErr w:type="spellStart"/>
      <w:r>
        <w:t>булінгу</w:t>
      </w:r>
      <w:proofErr w:type="spellEnd"/>
      <w:r>
        <w:t xml:space="preserve"> визначає механізми та процедури реагування на випадок </w:t>
      </w:r>
      <w:proofErr w:type="spellStart"/>
      <w:r>
        <w:t>булінгу</w:t>
      </w:r>
      <w:proofErr w:type="spellEnd"/>
      <w:r>
        <w:t xml:space="preserve"> (цькування).</w:t>
      </w:r>
    </w:p>
    <w:p w14:paraId="51D77F8B" w14:textId="77777777" w:rsidR="00D145D6" w:rsidRDefault="00FC5523">
      <w:pPr>
        <w:pStyle w:val="a5"/>
        <w:numPr>
          <w:ilvl w:val="0"/>
          <w:numId w:val="1"/>
        </w:numPr>
        <w:tabs>
          <w:tab w:val="left" w:pos="1410"/>
        </w:tabs>
        <w:ind w:firstLine="710"/>
        <w:jc w:val="both"/>
        <w:rPr>
          <w:sz w:val="28"/>
        </w:rPr>
      </w:pPr>
      <w:r>
        <w:rPr>
          <w:sz w:val="28"/>
        </w:rPr>
        <w:t xml:space="preserve">У випадках звернення за фактом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відповідальна особа первинно з’ясовує обставини викладеної в заяві ситуації, готує матеріали</w:t>
      </w:r>
      <w:r>
        <w:rPr>
          <w:spacing w:val="40"/>
          <w:sz w:val="28"/>
        </w:rPr>
        <w:t xml:space="preserve"> </w:t>
      </w:r>
      <w:r>
        <w:rPr>
          <w:sz w:val="28"/>
        </w:rPr>
        <w:t>для направлення повідомлень до уповноважених органів. Керівник закладу протягом доби направляє листи-повідомлення до територіальних органів Національної поліції, управління-служби в справах дітей, центру соціальних служб сім’ї, дітей та молоді.</w:t>
      </w:r>
    </w:p>
    <w:p w14:paraId="5344D3BB" w14:textId="77777777" w:rsidR="00D145D6" w:rsidRDefault="00FC5523">
      <w:pPr>
        <w:pStyle w:val="a5"/>
        <w:numPr>
          <w:ilvl w:val="0"/>
          <w:numId w:val="1"/>
        </w:numPr>
        <w:tabs>
          <w:tab w:val="left" w:pos="1410"/>
        </w:tabs>
        <w:ind w:right="109" w:firstLine="710"/>
        <w:jc w:val="both"/>
        <w:rPr>
          <w:sz w:val="28"/>
        </w:rPr>
      </w:pPr>
      <w:r>
        <w:rPr>
          <w:sz w:val="28"/>
        </w:rPr>
        <w:t xml:space="preserve">Наказом керівника скликається постійно діюча комісія з розгляду випадків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(не пізніше 3 днів з дня отримання заяви). До роботи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комісії можуть долучатися заявник, батьки або інші законні представники неповнолітніх сторін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, а також сторони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, представники Національної поліції, управління-служби у справах дітей, центру соціальних служб сім’ї дітей та молоді.</w:t>
      </w:r>
    </w:p>
    <w:p w14:paraId="127B9DC7" w14:textId="77777777" w:rsidR="00D145D6" w:rsidRDefault="00FC5523">
      <w:pPr>
        <w:pStyle w:val="a5"/>
        <w:numPr>
          <w:ilvl w:val="0"/>
          <w:numId w:val="1"/>
        </w:numPr>
        <w:tabs>
          <w:tab w:val="left" w:pos="1410"/>
        </w:tabs>
        <w:ind w:right="142" w:firstLine="710"/>
        <w:jc w:val="both"/>
        <w:rPr>
          <w:sz w:val="28"/>
        </w:rPr>
      </w:pPr>
      <w:r>
        <w:rPr>
          <w:sz w:val="28"/>
        </w:rPr>
        <w:t>Комісія здійснює свої повноваження не більше ніж 10 днів з дня видачі наказу про розгляд заяви.</w:t>
      </w:r>
    </w:p>
    <w:p w14:paraId="2B60A3E6" w14:textId="77777777" w:rsidR="00D145D6" w:rsidRDefault="00FC5523">
      <w:pPr>
        <w:pStyle w:val="a5"/>
        <w:numPr>
          <w:ilvl w:val="0"/>
          <w:numId w:val="1"/>
        </w:numPr>
        <w:tabs>
          <w:tab w:val="left" w:pos="1410"/>
        </w:tabs>
        <w:ind w:right="133" w:firstLine="710"/>
        <w:jc w:val="both"/>
        <w:rPr>
          <w:sz w:val="28"/>
        </w:rPr>
      </w:pPr>
      <w:r>
        <w:rPr>
          <w:sz w:val="28"/>
        </w:rPr>
        <w:t xml:space="preserve">Комісія протягом визначеного часу: збирає, аналізує, перевіряє достовірність інформації, готує матеріали, що підлягають розгляду на засіданні комісії (письмові пояснення сторін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, свідків, чергових педагогічних працівників, пояснення будь-яких заінтересованих осіб, за наявності матеріали </w:t>
      </w:r>
      <w:proofErr w:type="spellStart"/>
      <w:r>
        <w:rPr>
          <w:sz w:val="28"/>
        </w:rPr>
        <w:t>відеофіксації</w:t>
      </w:r>
      <w:proofErr w:type="spellEnd"/>
      <w:r>
        <w:rPr>
          <w:sz w:val="28"/>
        </w:rPr>
        <w:t xml:space="preserve"> тощо);</w:t>
      </w:r>
    </w:p>
    <w:p w14:paraId="357C88C5" w14:textId="77777777" w:rsidR="00D145D6" w:rsidRDefault="00FC5523">
      <w:pPr>
        <w:pStyle w:val="a3"/>
      </w:pPr>
      <w:r>
        <w:t xml:space="preserve">виробляє соціально-педагогічні висновки за спостереженням, аналізує висновки територіальних управління-служби у справах дітей, </w:t>
      </w:r>
      <w:proofErr w:type="spellStart"/>
      <w:r>
        <w:t>центрусоціальних</w:t>
      </w:r>
      <w:proofErr w:type="spellEnd"/>
      <w:r>
        <w:t xml:space="preserve"> служб сім’ї дітей та молоді, ювенальної превенції;</w:t>
      </w:r>
    </w:p>
    <w:p w14:paraId="0597BBB8" w14:textId="77777777" w:rsidR="00D145D6" w:rsidRDefault="00FC5523">
      <w:pPr>
        <w:pStyle w:val="a3"/>
        <w:ind w:right="134"/>
      </w:pPr>
      <w:r>
        <w:t xml:space="preserve">визначає причини </w:t>
      </w:r>
      <w:proofErr w:type="spellStart"/>
      <w:r>
        <w:t>булінгу</w:t>
      </w:r>
      <w:proofErr w:type="spellEnd"/>
      <w:r>
        <w:t xml:space="preserve"> та вживає необхідних заходів щодо його </w:t>
      </w:r>
      <w:r>
        <w:rPr>
          <w:spacing w:val="-2"/>
        </w:rPr>
        <w:t>усунення;</w:t>
      </w:r>
    </w:p>
    <w:p w14:paraId="290946A1" w14:textId="77777777" w:rsidR="00D145D6" w:rsidRDefault="00FC5523">
      <w:pPr>
        <w:pStyle w:val="a3"/>
        <w:spacing w:before="1"/>
        <w:ind w:right="128"/>
      </w:pPr>
      <w:r>
        <w:t xml:space="preserve">визначає ступінь заходів виховного впливу щодо сторін </w:t>
      </w:r>
      <w:proofErr w:type="spellStart"/>
      <w:r>
        <w:t>булінгу</w:t>
      </w:r>
      <w:proofErr w:type="spellEnd"/>
      <w:r>
        <w:t xml:space="preserve"> в класі, де стався випадок;</w:t>
      </w:r>
    </w:p>
    <w:p w14:paraId="63E75E96" w14:textId="77777777" w:rsidR="00D145D6" w:rsidRDefault="00FC5523">
      <w:pPr>
        <w:pStyle w:val="a3"/>
      </w:pPr>
      <w:r>
        <w:t xml:space="preserve">здійснює моніторинг ефективності соціальних та психолого- педагогічних послуг, заходів з усунення причин </w:t>
      </w:r>
      <w:proofErr w:type="spellStart"/>
      <w:r>
        <w:t>булінгу</w:t>
      </w:r>
      <w:proofErr w:type="spellEnd"/>
      <w:r>
        <w:t>, за необхідності вносить корегування;</w:t>
      </w:r>
    </w:p>
    <w:p w14:paraId="3E248100" w14:textId="77777777" w:rsidR="00D145D6" w:rsidRDefault="00FC5523">
      <w:pPr>
        <w:pStyle w:val="a3"/>
        <w:spacing w:line="321" w:lineRule="exact"/>
        <w:ind w:left="821" w:right="0" w:firstLine="0"/>
      </w:pPr>
      <w:r>
        <w:t>надає</w:t>
      </w:r>
      <w:r>
        <w:rPr>
          <w:spacing w:val="-8"/>
        </w:rPr>
        <w:t xml:space="preserve"> </w:t>
      </w:r>
      <w:r>
        <w:t>рекомендації</w:t>
      </w:r>
      <w:r>
        <w:rPr>
          <w:spacing w:val="-9"/>
        </w:rPr>
        <w:t xml:space="preserve"> </w:t>
      </w:r>
      <w:r>
        <w:t>педагогічним</w:t>
      </w:r>
      <w:r>
        <w:rPr>
          <w:spacing w:val="-7"/>
        </w:rPr>
        <w:t xml:space="preserve"> </w:t>
      </w:r>
      <w:r>
        <w:t>працівникам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rPr>
          <w:spacing w:val="-2"/>
        </w:rPr>
        <w:t>батькам.</w:t>
      </w:r>
    </w:p>
    <w:sectPr w:rsidR="00D145D6" w:rsidSect="00D25B71">
      <w:type w:val="continuous"/>
      <w:pgSz w:w="11910" w:h="16840"/>
      <w:pgMar w:top="760" w:right="1278" w:bottom="280" w:left="1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92AFB"/>
    <w:multiLevelType w:val="hybridMultilevel"/>
    <w:tmpl w:val="2A44FADE"/>
    <w:lvl w:ilvl="0" w:tplc="B17A0DF2">
      <w:start w:val="1"/>
      <w:numFmt w:val="decimal"/>
      <w:lvlText w:val="%1."/>
      <w:lvlJc w:val="left"/>
      <w:pPr>
        <w:ind w:left="111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E8E2B62">
      <w:numFmt w:val="bullet"/>
      <w:lvlText w:val="•"/>
      <w:lvlJc w:val="left"/>
      <w:pPr>
        <w:ind w:left="1056" w:hanging="591"/>
      </w:pPr>
      <w:rPr>
        <w:rFonts w:hint="default"/>
        <w:lang w:val="uk-UA" w:eastAsia="en-US" w:bidi="ar-SA"/>
      </w:rPr>
    </w:lvl>
    <w:lvl w:ilvl="2" w:tplc="DB8295AE">
      <w:numFmt w:val="bullet"/>
      <w:lvlText w:val="•"/>
      <w:lvlJc w:val="left"/>
      <w:pPr>
        <w:ind w:left="1993" w:hanging="591"/>
      </w:pPr>
      <w:rPr>
        <w:rFonts w:hint="default"/>
        <w:lang w:val="uk-UA" w:eastAsia="en-US" w:bidi="ar-SA"/>
      </w:rPr>
    </w:lvl>
    <w:lvl w:ilvl="3" w:tplc="DFFAFA20">
      <w:numFmt w:val="bullet"/>
      <w:lvlText w:val="•"/>
      <w:lvlJc w:val="left"/>
      <w:pPr>
        <w:ind w:left="2929" w:hanging="591"/>
      </w:pPr>
      <w:rPr>
        <w:rFonts w:hint="default"/>
        <w:lang w:val="uk-UA" w:eastAsia="en-US" w:bidi="ar-SA"/>
      </w:rPr>
    </w:lvl>
    <w:lvl w:ilvl="4" w:tplc="584CCB72">
      <w:numFmt w:val="bullet"/>
      <w:lvlText w:val="•"/>
      <w:lvlJc w:val="left"/>
      <w:pPr>
        <w:ind w:left="3866" w:hanging="591"/>
      </w:pPr>
      <w:rPr>
        <w:rFonts w:hint="default"/>
        <w:lang w:val="uk-UA" w:eastAsia="en-US" w:bidi="ar-SA"/>
      </w:rPr>
    </w:lvl>
    <w:lvl w:ilvl="5" w:tplc="75E6826A">
      <w:numFmt w:val="bullet"/>
      <w:lvlText w:val="•"/>
      <w:lvlJc w:val="left"/>
      <w:pPr>
        <w:ind w:left="4803" w:hanging="591"/>
      </w:pPr>
      <w:rPr>
        <w:rFonts w:hint="default"/>
        <w:lang w:val="uk-UA" w:eastAsia="en-US" w:bidi="ar-SA"/>
      </w:rPr>
    </w:lvl>
    <w:lvl w:ilvl="6" w:tplc="7CA670C2">
      <w:numFmt w:val="bullet"/>
      <w:lvlText w:val="•"/>
      <w:lvlJc w:val="left"/>
      <w:pPr>
        <w:ind w:left="5739" w:hanging="591"/>
      </w:pPr>
      <w:rPr>
        <w:rFonts w:hint="default"/>
        <w:lang w:val="uk-UA" w:eastAsia="en-US" w:bidi="ar-SA"/>
      </w:rPr>
    </w:lvl>
    <w:lvl w:ilvl="7" w:tplc="2A045DC8">
      <w:numFmt w:val="bullet"/>
      <w:lvlText w:val="•"/>
      <w:lvlJc w:val="left"/>
      <w:pPr>
        <w:ind w:left="6676" w:hanging="591"/>
      </w:pPr>
      <w:rPr>
        <w:rFonts w:hint="default"/>
        <w:lang w:val="uk-UA" w:eastAsia="en-US" w:bidi="ar-SA"/>
      </w:rPr>
    </w:lvl>
    <w:lvl w:ilvl="8" w:tplc="3EB2A0D2">
      <w:numFmt w:val="bullet"/>
      <w:lvlText w:val="•"/>
      <w:lvlJc w:val="left"/>
      <w:pPr>
        <w:ind w:left="7613" w:hanging="591"/>
      </w:pPr>
      <w:rPr>
        <w:rFonts w:hint="default"/>
        <w:lang w:val="uk-UA" w:eastAsia="en-US" w:bidi="ar-SA"/>
      </w:rPr>
    </w:lvl>
  </w:abstractNum>
  <w:num w:numId="1" w16cid:durableId="200724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5D6"/>
    <w:rsid w:val="00500E87"/>
    <w:rsid w:val="00D145D6"/>
    <w:rsid w:val="00D25B71"/>
    <w:rsid w:val="00F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2AE1"/>
  <w15:docId w15:val="{60309249-8A59-439C-8061-B8300C3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right="106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1" w:right="10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Пользователь</cp:lastModifiedBy>
  <cp:revision>6</cp:revision>
  <cp:lastPrinted>2024-04-11T10:41:00Z</cp:lastPrinted>
  <dcterms:created xsi:type="dcterms:W3CDTF">2024-04-11T06:43:00Z</dcterms:created>
  <dcterms:modified xsi:type="dcterms:W3CDTF">2024-04-15T09:21:00Z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